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812" w:rsidRDefault="00327812" w:rsidP="00327812">
      <w:pPr>
        <w:pStyle w:val="TITELDE"/>
        <w:rPr>
          <w:spacing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6D1E08">
            <wp:simplePos x="0" y="0"/>
            <wp:positionH relativeFrom="column">
              <wp:posOffset>-271145</wp:posOffset>
            </wp:positionH>
            <wp:positionV relativeFrom="paragraph">
              <wp:posOffset>-594995</wp:posOffset>
            </wp:positionV>
            <wp:extent cx="6599226" cy="6276975"/>
            <wp:effectExtent l="0" t="0" r="0" b="0"/>
            <wp:wrapNone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226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812" w:rsidRDefault="00327812" w:rsidP="00327812">
      <w:pPr>
        <w:pStyle w:val="TITELDE"/>
        <w:rPr>
          <w:spacing w:val="26"/>
        </w:rPr>
      </w:pPr>
    </w:p>
    <w:p w:rsidR="00327812" w:rsidRDefault="00327812" w:rsidP="00327812">
      <w:pPr>
        <w:pStyle w:val="TITELDE"/>
        <w:rPr>
          <w:spacing w:val="26"/>
        </w:rPr>
      </w:pPr>
    </w:p>
    <w:p w:rsidR="00327812" w:rsidRPr="00A947D8" w:rsidRDefault="00327812" w:rsidP="00327812">
      <w:pPr>
        <w:pStyle w:val="TITELDE"/>
        <w:rPr>
          <w:spacing w:val="26"/>
        </w:rPr>
      </w:pPr>
      <w:r>
        <w:rPr>
          <w:spacing w:val="26"/>
        </w:rPr>
        <w:t>INFORMATIONSSCHREIBEN ÜBER</w:t>
      </w:r>
    </w:p>
    <w:p w:rsidR="00327812" w:rsidRDefault="00327812" w:rsidP="00327812">
      <w:pPr>
        <w:pStyle w:val="TITELIT"/>
      </w:pPr>
      <w:r>
        <w:t>PROPHYLAXEKAMPAGNE 202</w:t>
      </w:r>
      <w:r>
        <w:t>3</w:t>
      </w: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In jedem viehhaltenden Betrieb wird jährlich die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Prophylaxekampagne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durchgeführt. Darunter verstehen sich die Blutuntersuchungen, welche auch als Winterproben von den Viehhaltern bezeichnet werden. </w:t>
      </w: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327812" w:rsidRDefault="00BB6289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Auch für das Jahr 2023 wird die jährliche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Prophylaxekampagne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innerhalb des Kalenderjahres durchgeführt. </w:t>
      </w:r>
      <w:r w:rsidR="00327812">
        <w:rPr>
          <w:rFonts w:ascii="Arial" w:hAnsi="Arial" w:cs="Arial"/>
          <w:color w:val="auto"/>
          <w:sz w:val="24"/>
          <w:szCs w:val="24"/>
        </w:rPr>
        <w:t xml:space="preserve">Mit den Probenentnahmen im Stall haben die Tierärzte </w:t>
      </w:r>
      <w:r>
        <w:rPr>
          <w:rFonts w:ascii="Arial" w:hAnsi="Arial" w:cs="Arial"/>
          <w:color w:val="auto"/>
          <w:sz w:val="24"/>
          <w:szCs w:val="24"/>
        </w:rPr>
        <w:t>am 16.01.2023</w:t>
      </w:r>
      <w:r w:rsidR="00327812">
        <w:rPr>
          <w:rFonts w:ascii="Arial" w:hAnsi="Arial" w:cs="Arial"/>
          <w:color w:val="auto"/>
          <w:sz w:val="24"/>
          <w:szCs w:val="24"/>
        </w:rPr>
        <w:t xml:space="preserve"> begonnen und müssen Mitte November abgeschlossen sein.    </w:t>
      </w: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327812" w:rsidRPr="00411FDC" w:rsidRDefault="00327812" w:rsidP="00327812">
      <w:pPr>
        <w:pStyle w:val="TITELIT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11FDC">
        <w:rPr>
          <w:rFonts w:ascii="Arial" w:hAnsi="Arial" w:cs="Arial"/>
          <w:b/>
          <w:bCs/>
          <w:color w:val="auto"/>
          <w:sz w:val="24"/>
          <w:szCs w:val="24"/>
        </w:rPr>
        <w:t>WAS WIRD IN SCHAF- und ZIEGENBETRIEBEN UNTERSUCHT?</w:t>
      </w: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Das verpflichtende Programm zur Vorbeugung der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Scrapie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Nr. 5930/2019) wird auch heuer umgesetzt. Es sieht vor, dass jeder Widder, welcher zum Decken eingesetzt wird, einer Blutprobe zwecks Untersuchung des Resistenzniveaus auf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Scrapie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unterzogen wird. Das betrifft sowohl Herdebuch Widder wie nicht Zuchttiere. </w:t>
      </w:r>
      <w:r w:rsidR="00BB6289">
        <w:rPr>
          <w:rFonts w:ascii="Arial" w:hAnsi="Arial" w:cs="Arial"/>
          <w:color w:val="auto"/>
          <w:sz w:val="24"/>
          <w:szCs w:val="24"/>
        </w:rPr>
        <w:t xml:space="preserve">Bereits </w:t>
      </w:r>
      <w:proofErr w:type="spellStart"/>
      <w:r w:rsidR="00BB6289">
        <w:rPr>
          <w:rFonts w:ascii="Arial" w:hAnsi="Arial" w:cs="Arial"/>
          <w:color w:val="auto"/>
          <w:sz w:val="24"/>
          <w:szCs w:val="24"/>
        </w:rPr>
        <w:t>genotypisierte</w:t>
      </w:r>
      <w:proofErr w:type="spellEnd"/>
      <w:r w:rsidR="00BB6289">
        <w:rPr>
          <w:rFonts w:ascii="Arial" w:hAnsi="Arial" w:cs="Arial"/>
          <w:color w:val="auto"/>
          <w:sz w:val="24"/>
          <w:szCs w:val="24"/>
        </w:rPr>
        <w:t xml:space="preserve"> Widder werden nicht nochmals untersucht. </w:t>
      </w:r>
      <w:r>
        <w:rPr>
          <w:rFonts w:ascii="Arial" w:hAnsi="Arial" w:cs="Arial"/>
          <w:color w:val="auto"/>
          <w:sz w:val="24"/>
          <w:szCs w:val="24"/>
        </w:rPr>
        <w:t xml:space="preserve">Weibliche Schafe der Rasse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Villnösser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Brillenschaf,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Schnalser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Schaf, Schwarzbraunes Bergschaf und Steinschaf </w:t>
      </w:r>
      <w:r w:rsidRPr="00F810D9">
        <w:rPr>
          <w:rFonts w:ascii="Arial" w:hAnsi="Arial" w:cs="Arial"/>
          <w:color w:val="auto"/>
          <w:sz w:val="24"/>
          <w:szCs w:val="24"/>
          <w:u w:val="single"/>
        </w:rPr>
        <w:t>können freiwillig</w:t>
      </w:r>
      <w:r>
        <w:rPr>
          <w:rFonts w:ascii="Arial" w:hAnsi="Arial" w:cs="Arial"/>
          <w:color w:val="auto"/>
          <w:sz w:val="24"/>
          <w:szCs w:val="24"/>
        </w:rPr>
        <w:t xml:space="preserve"> diese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Genotypisierung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durchführen lassen.</w:t>
      </w: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In bestimmten Gemeinden werden auch die Ziegenböcke in Bezug auf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Scrapie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genotypisiert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2"/>
        <w:gridCol w:w="2243"/>
        <w:gridCol w:w="2278"/>
        <w:gridCol w:w="2259"/>
      </w:tblGrid>
      <w:tr w:rsidR="00836CED" w:rsidTr="005D2B41"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Andrian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Ritten</w:t>
            </w:r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Mühlbach</w:t>
            </w:r>
          </w:p>
        </w:tc>
        <w:tc>
          <w:tcPr>
            <w:tcW w:w="2545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Niederdorf</w:t>
            </w:r>
          </w:p>
        </w:tc>
      </w:tr>
      <w:tr w:rsidR="00836CED" w:rsidTr="005D2B41"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Eppan</w:t>
            </w:r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Sarntal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Pfitsch</w:t>
            </w:r>
            <w:proofErr w:type="spellEnd"/>
          </w:p>
        </w:tc>
        <w:tc>
          <w:tcPr>
            <w:tcW w:w="2545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Prags</w:t>
            </w:r>
          </w:p>
        </w:tc>
      </w:tr>
      <w:tr w:rsidR="00836CED" w:rsidTr="005D2B41"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Jenesien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Terlan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Vahrn</w:t>
            </w:r>
            <w:proofErr w:type="spellEnd"/>
          </w:p>
        </w:tc>
        <w:tc>
          <w:tcPr>
            <w:tcW w:w="2545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Prettau</w:t>
            </w:r>
            <w:proofErr w:type="spellEnd"/>
          </w:p>
        </w:tc>
      </w:tr>
      <w:tr w:rsidR="00836CED" w:rsidTr="005D2B41"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Leifers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Brixen</w:t>
            </w:r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Ratschings</w:t>
            </w:r>
            <w:proofErr w:type="spellEnd"/>
          </w:p>
        </w:tc>
        <w:tc>
          <w:tcPr>
            <w:tcW w:w="2545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Sand in Taufers</w:t>
            </w:r>
          </w:p>
        </w:tc>
      </w:tr>
      <w:tr w:rsidR="00836CED" w:rsidTr="005D2B41"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Mölten</w:t>
            </w:r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Freienfeld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Ahrntal</w:t>
            </w:r>
            <w:proofErr w:type="spellEnd"/>
          </w:p>
        </w:tc>
        <w:tc>
          <w:tcPr>
            <w:tcW w:w="2545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Graun</w:t>
            </w:r>
            <w:proofErr w:type="spellEnd"/>
          </w:p>
        </w:tc>
      </w:tr>
      <w:tr w:rsidR="00836CED" w:rsidTr="005D2B41"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Nals</w:t>
            </w:r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Lajen</w:t>
            </w:r>
            <w:proofErr w:type="spellEnd"/>
          </w:p>
        </w:tc>
        <w:tc>
          <w:tcPr>
            <w:tcW w:w="2544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Mühlwald</w:t>
            </w:r>
            <w:proofErr w:type="spellEnd"/>
          </w:p>
        </w:tc>
        <w:tc>
          <w:tcPr>
            <w:tcW w:w="2545" w:type="dxa"/>
          </w:tcPr>
          <w:p w:rsidR="00327812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Kuens</w:t>
            </w:r>
          </w:p>
        </w:tc>
      </w:tr>
      <w:tr w:rsidR="00836CED" w:rsidTr="005D2B41">
        <w:tc>
          <w:tcPr>
            <w:tcW w:w="2544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Laurein</w:t>
            </w:r>
            <w:proofErr w:type="spellEnd"/>
          </w:p>
        </w:tc>
        <w:tc>
          <w:tcPr>
            <w:tcW w:w="2544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Martell</w:t>
            </w:r>
          </w:p>
        </w:tc>
        <w:tc>
          <w:tcPr>
            <w:tcW w:w="2544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Proveis</w:t>
            </w:r>
          </w:p>
        </w:tc>
        <w:tc>
          <w:tcPr>
            <w:tcW w:w="2545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Schenna</w:t>
            </w:r>
            <w:proofErr w:type="spellEnd"/>
          </w:p>
        </w:tc>
      </w:tr>
      <w:tr w:rsidR="00836CED" w:rsidTr="005D2B41">
        <w:tc>
          <w:tcPr>
            <w:tcW w:w="2544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Schlanders</w:t>
            </w:r>
          </w:p>
        </w:tc>
        <w:tc>
          <w:tcPr>
            <w:tcW w:w="2544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St. Martin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i.P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Taufers</w:t>
            </w:r>
          </w:p>
        </w:tc>
        <w:tc>
          <w:tcPr>
            <w:tcW w:w="2545" w:type="dxa"/>
          </w:tcPr>
          <w:p w:rsidR="00836CED" w:rsidRDefault="00836CED" w:rsidP="005D2B41">
            <w:pPr>
              <w:pStyle w:val="TITELIT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U.l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 Frau im W</w:t>
            </w:r>
          </w:p>
        </w:tc>
      </w:tr>
    </w:tbl>
    <w:p w:rsidR="00327812" w:rsidRDefault="00327812" w:rsidP="00327812">
      <w:pPr>
        <w:pStyle w:val="TITELIT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AF4EFF" w:rsidRDefault="00836CED">
      <w:r w:rsidRPr="00532BCC">
        <w:rPr>
          <w:rFonts w:ascii="Arial" w:hAnsi="Arial" w:cs="Arial"/>
          <w:b/>
          <w:bCs/>
          <w:sz w:val="24"/>
          <w:szCs w:val="24"/>
        </w:rPr>
        <w:t>INFO</w:t>
      </w:r>
      <w:r w:rsidRPr="00896507">
        <w:rPr>
          <w:rFonts w:ascii="Arial" w:hAnsi="Arial" w:cs="Arial"/>
          <w:sz w:val="24"/>
          <w:szCs w:val="24"/>
        </w:rPr>
        <w:t xml:space="preserve">: bei der </w:t>
      </w:r>
      <w:proofErr w:type="spellStart"/>
      <w:r w:rsidRPr="00896507">
        <w:rPr>
          <w:rFonts w:ascii="Arial" w:hAnsi="Arial" w:cs="Arial"/>
          <w:sz w:val="24"/>
          <w:szCs w:val="24"/>
        </w:rPr>
        <w:t>Genotypisierung</w:t>
      </w:r>
      <w:proofErr w:type="spellEnd"/>
      <w:r w:rsidRPr="00896507">
        <w:rPr>
          <w:rFonts w:ascii="Arial" w:hAnsi="Arial" w:cs="Arial"/>
          <w:sz w:val="24"/>
          <w:szCs w:val="24"/>
        </w:rPr>
        <w:t xml:space="preserve"> von Widdern gibt es keine </w:t>
      </w:r>
      <w:r>
        <w:rPr>
          <w:rFonts w:ascii="Arial" w:hAnsi="Arial" w:cs="Arial"/>
          <w:sz w:val="24"/>
          <w:szCs w:val="24"/>
        </w:rPr>
        <w:t xml:space="preserve">Altersbegrenzung. Es können auch Widderlämmer unter 6 Monaten untersucht werden. Das macht Sinn, denn so erspart man sich rechtzeitig die Aufzucht, sollten die Lämmer eventuell nicht der richtigen </w:t>
      </w:r>
      <w:proofErr w:type="gramStart"/>
      <w:r>
        <w:rPr>
          <w:rFonts w:ascii="Arial" w:hAnsi="Arial" w:cs="Arial"/>
          <w:sz w:val="24"/>
          <w:szCs w:val="24"/>
        </w:rPr>
        <w:t>GEN Klasse</w:t>
      </w:r>
      <w:proofErr w:type="gramEnd"/>
      <w:r>
        <w:rPr>
          <w:rFonts w:ascii="Arial" w:hAnsi="Arial" w:cs="Arial"/>
          <w:sz w:val="24"/>
          <w:szCs w:val="24"/>
        </w:rPr>
        <w:t xml:space="preserve"> entsprechen!</w:t>
      </w:r>
    </w:p>
    <w:sectPr w:rsidR="00AF4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Rust Slab Black 03">
    <w:altName w:val="Calibri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12"/>
    <w:rsid w:val="00327812"/>
    <w:rsid w:val="00836CED"/>
    <w:rsid w:val="00AF4EFF"/>
    <w:rsid w:val="00BB6289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5A40"/>
  <w15:chartTrackingRefBased/>
  <w15:docId w15:val="{02750D5F-7AC8-4B3A-BE02-40603AC7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78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DE">
    <w:name w:val="TITEL DE"/>
    <w:basedOn w:val="Standard"/>
    <w:uiPriority w:val="99"/>
    <w:rsid w:val="00327812"/>
    <w:pPr>
      <w:tabs>
        <w:tab w:val="left" w:pos="0"/>
        <w:tab w:val="left" w:pos="4540"/>
      </w:tabs>
      <w:autoSpaceDE w:val="0"/>
      <w:autoSpaceDN w:val="0"/>
      <w:adjustRightInd w:val="0"/>
      <w:spacing w:after="0" w:line="540" w:lineRule="atLeast"/>
      <w:textAlignment w:val="center"/>
    </w:pPr>
    <w:rPr>
      <w:rFonts w:ascii="Nexa Rust Slab Black 03" w:hAnsi="Nexa Rust Slab Black 03" w:cs="Nexa Rust Slab Black 03"/>
      <w:color w:val="383434"/>
      <w:spacing w:val="22"/>
      <w:sz w:val="44"/>
      <w:szCs w:val="44"/>
    </w:rPr>
  </w:style>
  <w:style w:type="paragraph" w:customStyle="1" w:styleId="TITELIT">
    <w:name w:val="TITEL IT"/>
    <w:basedOn w:val="Standard"/>
    <w:uiPriority w:val="99"/>
    <w:rsid w:val="00327812"/>
    <w:pPr>
      <w:tabs>
        <w:tab w:val="left" w:pos="0"/>
        <w:tab w:val="left" w:pos="4540"/>
      </w:tabs>
      <w:autoSpaceDE w:val="0"/>
      <w:autoSpaceDN w:val="0"/>
      <w:adjustRightInd w:val="0"/>
      <w:spacing w:after="0" w:line="540" w:lineRule="atLeast"/>
      <w:textAlignment w:val="center"/>
    </w:pPr>
    <w:rPr>
      <w:rFonts w:ascii="Nexa Rust Slab Black 03" w:hAnsi="Nexa Rust Slab Black 03" w:cs="Nexa Rust Slab Black 03"/>
      <w:color w:val="B26271"/>
      <w:spacing w:val="22"/>
      <w:sz w:val="44"/>
      <w:szCs w:val="44"/>
    </w:rPr>
  </w:style>
  <w:style w:type="table" w:styleId="Tabellenraster">
    <w:name w:val="Table Grid"/>
    <w:basedOn w:val="NormaleTabelle"/>
    <w:uiPriority w:val="39"/>
    <w:rsid w:val="0032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EliteDesk 800 G3 TWR - ACS: 1015514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Mock</dc:creator>
  <cp:keywords/>
  <dc:description/>
  <cp:lastModifiedBy>Barbara Mock</cp:lastModifiedBy>
  <cp:revision>1</cp:revision>
  <dcterms:created xsi:type="dcterms:W3CDTF">2023-01-31T08:52:00Z</dcterms:created>
  <dcterms:modified xsi:type="dcterms:W3CDTF">2023-01-31T09:23:00Z</dcterms:modified>
</cp:coreProperties>
</file>